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21D45F31" w:rsidR="00CC4ED3" w:rsidRDefault="00CC4ED3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2E6C73">
        <w:rPr>
          <w:rFonts w:ascii="Arial" w:hAnsi="Arial" w:cs="Arial"/>
          <w:b/>
          <w:sz w:val="20"/>
          <w:szCs w:val="20"/>
        </w:rPr>
        <w:t>8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5C650F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28421830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ust. 1 ustawy z dnia 11 września 2019r.</w:t>
      </w:r>
    </w:p>
    <w:p w14:paraId="4D990E1B" w14:textId="77777777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5FCF20A9" w:rsidR="00CC4ED3" w:rsidRDefault="00CC4ED3" w:rsidP="00FC274E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EA7EB5">
        <w:rPr>
          <w:rFonts w:ascii="Arial" w:hAnsi="Arial" w:cs="Arial"/>
          <w:b/>
          <w:sz w:val="20"/>
          <w:szCs w:val="20"/>
        </w:rPr>
        <w:t xml:space="preserve">na </w:t>
      </w:r>
      <w:r w:rsidR="00EA7EB5" w:rsidRPr="00EA7EB5">
        <w:rPr>
          <w:rFonts w:ascii="Arial" w:hAnsi="Arial" w:cs="Arial"/>
          <w:b/>
          <w:sz w:val="20"/>
          <w:szCs w:val="20"/>
        </w:rPr>
        <w:t>dostawy osprzętu medycznego jednorazowego użytku do zabiegów operacyjnych</w:t>
      </w:r>
      <w:r w:rsidRPr="00EA7EB5">
        <w:rPr>
          <w:rFonts w:ascii="Arial" w:hAnsi="Arial" w:cs="Arial"/>
          <w:sz w:val="20"/>
          <w:szCs w:val="20"/>
        </w:rPr>
        <w:t xml:space="preserve"> </w:t>
      </w:r>
      <w:bookmarkEnd w:id="0"/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ED07E6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ED07E6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ED07E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5C650F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5C650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5C650F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5C650F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5C650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7777777" w:rsidR="00CC4ED3" w:rsidRDefault="00CC4ED3" w:rsidP="005C6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26DA4058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2E6C73">
        <w:rPr>
          <w:rFonts w:ascii="Arial" w:hAnsi="Arial" w:cs="Arial"/>
          <w:b/>
          <w:sz w:val="20"/>
          <w:szCs w:val="20"/>
        </w:rPr>
        <w:t>8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25679A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5C650F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962BD0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962BD0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5C650F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5C650F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5C650F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1B3C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A0F1C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7</cp:revision>
  <cp:lastPrinted>2021-05-24T09:16:00Z</cp:lastPrinted>
  <dcterms:created xsi:type="dcterms:W3CDTF">2021-03-30T07:32:00Z</dcterms:created>
  <dcterms:modified xsi:type="dcterms:W3CDTF">2021-05-24T09:16:00Z</dcterms:modified>
</cp:coreProperties>
</file>